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年财政总预算说明</w:t>
      </w:r>
    </w:p>
    <w:p/>
    <w:p>
      <w:r>
        <w:t xml:space="preserve">  </w:t>
      </w:r>
    </w:p>
    <w:p/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一、一般公共预算安排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全县一般公共预算收入预计为130000万元，比上年完成数增长10.73%,其中：税收收入预计为115376万元，增长27.96%，非税收入预计为14624万元，下降46.31%。返还性收入-289万元，一般性转移支付收入47401万元，专项转移支付收入1233万元，一般债券转贷收入4650万元，调入预算稳定调节基金7444万元，上年结转2460万元，收入总计192899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全县一般公共预算支出预计为190349万元，比2019年预算同口径增长1.93%，上解上级支出1826万元，债务还本支出724万元。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二、政府性基金预算安排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政府性基金收入预计38026万元，增长7.55 %；上年结转1776万元，上级转移支付1208万元，收入总计41010万元。 全县政府性基金支出安排41010万元，增长-8.28%。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三、国有资本经营预算安排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因为我县没有国有资本经营收入，所以没有国有资本经营预算。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四、上级转移支付情况说明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年市与县市财政预算财力测算表，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年预算的一般性转移支付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47401</w:t>
      </w:r>
      <w:r>
        <w:rPr>
          <w:rFonts w:hint="eastAsia" w:ascii="仿宋" w:hAnsi="仿宋" w:eastAsia="仿宋"/>
          <w:sz w:val="32"/>
          <w:szCs w:val="32"/>
        </w:rPr>
        <w:t xml:space="preserve">万元，其中：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均衡性转移支付收入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11060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县级基本财力保障机制奖补资金收入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4903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1967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资源枯竭型城市转移支付补助收入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重点生态功能区转移支付收入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固定数额补助收入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6935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革命老区转移支付收入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761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贫困地区转移支付收入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4568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公共安全共同财政事权转移支付收入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文化旅游体育与传媒共同财政事权转移支付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收入134万元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6672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卫生健康共同财政事权转移支付收入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节能环保共同财政事权转移支付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收入133万元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农林水共同财政事权转移支付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收入2863万元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交通运输共同财政事权转移支付支出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住房保障共同财政事权转移支付收入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其他一般性转移支付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收入14万元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年预算的专项转移支付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1233</w:t>
      </w:r>
      <w:r>
        <w:rPr>
          <w:rFonts w:hint="eastAsia" w:ascii="仿宋" w:hAnsi="仿宋" w:eastAsia="仿宋"/>
          <w:sz w:val="32"/>
          <w:szCs w:val="32"/>
        </w:rPr>
        <w:t>万元，其中：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卫生健康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节能环保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466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农林水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商业服务业等36万元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自然资源海洋气象等85万元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灾害防治及应急管理9万元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、纳入20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年预算的政府性基金转移支付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彩票公益金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1104万元</w:t>
      </w:r>
    </w:p>
    <w:p>
      <w:pPr>
        <w:ind w:firstLine="627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4"/>
          <w:sz w:val="32"/>
          <w:szCs w:val="32"/>
        </w:rPr>
        <w:t>五、</w:t>
      </w:r>
      <w:r>
        <w:rPr>
          <w:rFonts w:hint="eastAsia" w:ascii="仿宋" w:hAnsi="仿宋" w:eastAsia="仿宋"/>
          <w:b/>
          <w:sz w:val="32"/>
          <w:szCs w:val="32"/>
        </w:rPr>
        <w:t>政府债务情况说明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2019年，上级下达我县政府债务限额63709万元，其中：一般债务36709万元，专项债务27000万元。全县政府债务余额59125.41万元，其中：外债转贷3924.9万元，政府债券余额为28700.51万元。新增债券18000万元，其中：用于用于中阳县万年饱至吴家峁公路改建工程（运煤专线）项目1300万元，用于中阳县城规划区集中供热全覆盖一、二期工程项目17900万元。债券付息1262.5276万元。</w:t>
      </w:r>
    </w:p>
    <w:p>
      <w:pPr>
        <w:ind w:firstLine="640" w:firstLineChars="200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2020年，上级提前下达我县新增一般债务限额4650万元，其中用于：中阳县易地移民搬迁政府购买服务还本1484.25万元，中阳县美丽宜居示范村建设项目2100万元，中阳县金罗新大桥至污水处理厂管网收集工程890万元，中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阳县枝柯镇核心区生活污水处理项目175.75万元。债券付息1877.033974万元。</w:t>
      </w:r>
    </w:p>
    <w:p>
      <w:pPr>
        <w:ind w:firstLine="627" w:firstLineChars="200"/>
        <w:rPr>
          <w:rFonts w:hint="eastAsia" w:ascii="仿宋" w:hAnsi="仿宋" w:eastAsia="仿宋"/>
          <w:b/>
          <w:spacing w:val="-4"/>
          <w:sz w:val="32"/>
          <w:szCs w:val="32"/>
        </w:rPr>
      </w:pPr>
      <w:r>
        <w:rPr>
          <w:rFonts w:hint="eastAsia" w:ascii="仿宋" w:hAnsi="仿宋" w:eastAsia="仿宋"/>
          <w:b/>
          <w:spacing w:val="-4"/>
          <w:sz w:val="32"/>
          <w:szCs w:val="32"/>
        </w:rPr>
        <w:t>六、社会保险基金预算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2020年全县社会保险基金预算收入预计22419万元，全县社会保险基金预算支出安排16091万元，预算收支结余</w:t>
      </w:r>
      <w:r>
        <w:rPr>
          <w:rFonts w:hint="eastAsia" w:ascii="仿宋" w:hAnsi="仿宋" w:eastAsia="仿宋"/>
          <w:sz w:val="32"/>
          <w:szCs w:val="32"/>
        </w:rPr>
        <w:t>6328万元，滚存结余25166万元。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七、一般公共预算“三公”经费预算安排情况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年县级行政事业单位安排的“三公”经费预算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668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1054</w:t>
      </w:r>
      <w:r>
        <w:rPr>
          <w:rFonts w:hint="eastAsia" w:ascii="仿宋" w:hAnsi="仿宋" w:eastAsia="仿宋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减少386</w:t>
      </w:r>
      <w:r>
        <w:rPr>
          <w:rFonts w:hint="eastAsia" w:ascii="仿宋" w:hAnsi="仿宋" w:eastAsia="仿宋"/>
          <w:sz w:val="32"/>
          <w:szCs w:val="32"/>
        </w:rPr>
        <w:t>万元万元，同口径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下降36.62</w:t>
      </w:r>
      <w:r>
        <w:rPr>
          <w:rFonts w:hint="eastAsia" w:ascii="仿宋" w:hAnsi="仿宋" w:eastAsia="仿宋"/>
          <w:sz w:val="32"/>
          <w:szCs w:val="32"/>
        </w:rPr>
        <w:t>%。其中：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年因公出国（境）经费预算0万元，20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年安排预算0万元，与上年预算持平；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（二）公务接待费预算2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年安排预算2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万元，比上年预算减少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万元，同比下降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（三）公务用车购置及运行维护费预算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448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814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减少366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下降44.96</w:t>
      </w:r>
      <w:r>
        <w:rPr>
          <w:rFonts w:hint="eastAsia" w:ascii="仿宋" w:hAnsi="仿宋" w:eastAsia="仿宋"/>
          <w:sz w:val="32"/>
          <w:szCs w:val="32"/>
        </w:rPr>
        <w:t>%。其中：1、公务用车购置费预算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/>
          <w:sz w:val="32"/>
          <w:szCs w:val="32"/>
        </w:rPr>
        <w:t>万元，201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减少363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下降72.6</w:t>
      </w:r>
      <w:r>
        <w:rPr>
          <w:rFonts w:hint="eastAsia" w:ascii="仿宋" w:hAnsi="仿宋" w:eastAsia="仿宋"/>
          <w:sz w:val="32"/>
          <w:szCs w:val="32"/>
        </w:rPr>
        <w:t>%；2、公务用车运行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维护费311</w:t>
      </w:r>
      <w:r>
        <w:rPr>
          <w:rFonts w:hint="eastAsia" w:ascii="仿宋" w:hAnsi="仿宋" w:eastAsia="仿宋"/>
          <w:sz w:val="32"/>
          <w:szCs w:val="32"/>
        </w:rPr>
        <w:t>万元，201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314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下降0.96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八、财政扶贫资金预算安排情况说明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年，我县安排财政扶贫预算资金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11179</w:t>
      </w:r>
      <w:r>
        <w:rPr>
          <w:rFonts w:hint="eastAsia" w:ascii="仿宋" w:hAnsi="仿宋" w:eastAsia="仿宋"/>
          <w:sz w:val="32"/>
          <w:szCs w:val="32"/>
        </w:rPr>
        <w:t>万元，其中：上级扶贫预算资金安排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6474</w:t>
      </w:r>
      <w:r>
        <w:rPr>
          <w:rFonts w:hint="eastAsia" w:ascii="仿宋" w:hAnsi="仿宋" w:eastAsia="仿宋"/>
          <w:sz w:val="32"/>
          <w:szCs w:val="32"/>
        </w:rPr>
        <w:t>万元，县级财政扶贫预算资金安排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4705</w:t>
      </w:r>
      <w:r>
        <w:rPr>
          <w:rFonts w:hint="eastAsia" w:ascii="仿宋" w:hAnsi="仿宋" w:eastAsia="仿宋"/>
          <w:sz w:val="32"/>
          <w:szCs w:val="32"/>
        </w:rPr>
        <w:t>万元，全部用于脱贫攻坚项目。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九、完成20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年预算任务的主要措施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1.“以收定支”坚持政府过“紧日子”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 保障重点民生支出，助力百姓过“好日子”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3、蹄疾步稳深化财税体制改革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中阳县财政局</w:t>
      </w:r>
    </w:p>
    <w:p>
      <w:pPr>
        <w:ind w:right="16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E907"/>
    <w:multiLevelType w:val="singleLevel"/>
    <w:tmpl w:val="5897E90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134"/>
    <w:rsid w:val="00014126"/>
    <w:rsid w:val="000369E9"/>
    <w:rsid w:val="00063F25"/>
    <w:rsid w:val="000C068F"/>
    <w:rsid w:val="000E698D"/>
    <w:rsid w:val="00111EE1"/>
    <w:rsid w:val="00113B1C"/>
    <w:rsid w:val="0012311C"/>
    <w:rsid w:val="00143EF4"/>
    <w:rsid w:val="00154908"/>
    <w:rsid w:val="001662C5"/>
    <w:rsid w:val="00167522"/>
    <w:rsid w:val="00187CDF"/>
    <w:rsid w:val="001A6F55"/>
    <w:rsid w:val="001B4A00"/>
    <w:rsid w:val="001E2A5A"/>
    <w:rsid w:val="001E49D0"/>
    <w:rsid w:val="001E7C36"/>
    <w:rsid w:val="001F12FF"/>
    <w:rsid w:val="001F4EE0"/>
    <w:rsid w:val="00200FFD"/>
    <w:rsid w:val="002604FA"/>
    <w:rsid w:val="00275827"/>
    <w:rsid w:val="002B144C"/>
    <w:rsid w:val="002F6023"/>
    <w:rsid w:val="00311BA7"/>
    <w:rsid w:val="00314F16"/>
    <w:rsid w:val="003207C5"/>
    <w:rsid w:val="00320AC5"/>
    <w:rsid w:val="00326477"/>
    <w:rsid w:val="003350D6"/>
    <w:rsid w:val="00356A0A"/>
    <w:rsid w:val="00387A7F"/>
    <w:rsid w:val="003B1819"/>
    <w:rsid w:val="003F5973"/>
    <w:rsid w:val="004076DF"/>
    <w:rsid w:val="004322EC"/>
    <w:rsid w:val="00432AFB"/>
    <w:rsid w:val="0043408E"/>
    <w:rsid w:val="00454D15"/>
    <w:rsid w:val="0048291C"/>
    <w:rsid w:val="004C117C"/>
    <w:rsid w:val="004C7122"/>
    <w:rsid w:val="004D0619"/>
    <w:rsid w:val="004D736C"/>
    <w:rsid w:val="00501F74"/>
    <w:rsid w:val="00537299"/>
    <w:rsid w:val="00557D45"/>
    <w:rsid w:val="0057676D"/>
    <w:rsid w:val="005E6AF4"/>
    <w:rsid w:val="005F2C93"/>
    <w:rsid w:val="005F39C5"/>
    <w:rsid w:val="00602C13"/>
    <w:rsid w:val="00610A68"/>
    <w:rsid w:val="00626F7E"/>
    <w:rsid w:val="006337AB"/>
    <w:rsid w:val="00634932"/>
    <w:rsid w:val="00642672"/>
    <w:rsid w:val="00682A81"/>
    <w:rsid w:val="006A341B"/>
    <w:rsid w:val="006E75E8"/>
    <w:rsid w:val="00704E56"/>
    <w:rsid w:val="00707E63"/>
    <w:rsid w:val="00736BFC"/>
    <w:rsid w:val="00755726"/>
    <w:rsid w:val="00764A9A"/>
    <w:rsid w:val="00773171"/>
    <w:rsid w:val="007731E0"/>
    <w:rsid w:val="007929F0"/>
    <w:rsid w:val="007F2D6A"/>
    <w:rsid w:val="00807019"/>
    <w:rsid w:val="0083305D"/>
    <w:rsid w:val="00876AC6"/>
    <w:rsid w:val="00896FA6"/>
    <w:rsid w:val="008B12E3"/>
    <w:rsid w:val="008B65FD"/>
    <w:rsid w:val="008E5F40"/>
    <w:rsid w:val="00932B20"/>
    <w:rsid w:val="00965B7F"/>
    <w:rsid w:val="00973872"/>
    <w:rsid w:val="009F0E18"/>
    <w:rsid w:val="00A05C0C"/>
    <w:rsid w:val="00A47A16"/>
    <w:rsid w:val="00A500A7"/>
    <w:rsid w:val="00A70C3D"/>
    <w:rsid w:val="00A8289C"/>
    <w:rsid w:val="00A941EC"/>
    <w:rsid w:val="00AB4470"/>
    <w:rsid w:val="00AD06B5"/>
    <w:rsid w:val="00B079F1"/>
    <w:rsid w:val="00B42EEA"/>
    <w:rsid w:val="00B52977"/>
    <w:rsid w:val="00B76134"/>
    <w:rsid w:val="00BA6843"/>
    <w:rsid w:val="00BD423D"/>
    <w:rsid w:val="00BF0B4C"/>
    <w:rsid w:val="00BF437A"/>
    <w:rsid w:val="00C30825"/>
    <w:rsid w:val="00C77F62"/>
    <w:rsid w:val="00C9117D"/>
    <w:rsid w:val="00CD735E"/>
    <w:rsid w:val="00D04DAC"/>
    <w:rsid w:val="00D639CC"/>
    <w:rsid w:val="00D84208"/>
    <w:rsid w:val="00DA1B3A"/>
    <w:rsid w:val="00DA4725"/>
    <w:rsid w:val="00DA6EF1"/>
    <w:rsid w:val="00DC7F4D"/>
    <w:rsid w:val="00DD3D59"/>
    <w:rsid w:val="00DE3675"/>
    <w:rsid w:val="00E675E3"/>
    <w:rsid w:val="00ED2608"/>
    <w:rsid w:val="00ED2DAC"/>
    <w:rsid w:val="00ED54D2"/>
    <w:rsid w:val="00F03C96"/>
    <w:rsid w:val="00F61F6B"/>
    <w:rsid w:val="00F65972"/>
    <w:rsid w:val="00F845D6"/>
    <w:rsid w:val="00FB0761"/>
    <w:rsid w:val="00FD54AA"/>
    <w:rsid w:val="00FD6EA2"/>
    <w:rsid w:val="071C733F"/>
    <w:rsid w:val="07386D1C"/>
    <w:rsid w:val="07902E79"/>
    <w:rsid w:val="0A8A3CFA"/>
    <w:rsid w:val="0C865889"/>
    <w:rsid w:val="0EBD39E6"/>
    <w:rsid w:val="1663126E"/>
    <w:rsid w:val="16A76DD3"/>
    <w:rsid w:val="19182DEF"/>
    <w:rsid w:val="197E3A28"/>
    <w:rsid w:val="1B5D6F42"/>
    <w:rsid w:val="238A698B"/>
    <w:rsid w:val="26554EC7"/>
    <w:rsid w:val="267D671A"/>
    <w:rsid w:val="26F00DE9"/>
    <w:rsid w:val="28205C80"/>
    <w:rsid w:val="290F4360"/>
    <w:rsid w:val="29D25E97"/>
    <w:rsid w:val="2B2A129A"/>
    <w:rsid w:val="2E482E5B"/>
    <w:rsid w:val="33640405"/>
    <w:rsid w:val="33A34F87"/>
    <w:rsid w:val="341605B4"/>
    <w:rsid w:val="34887BDC"/>
    <w:rsid w:val="37F139BD"/>
    <w:rsid w:val="38514535"/>
    <w:rsid w:val="3A976425"/>
    <w:rsid w:val="3C243816"/>
    <w:rsid w:val="3CB079A4"/>
    <w:rsid w:val="3DE01604"/>
    <w:rsid w:val="40336BCB"/>
    <w:rsid w:val="40A5739D"/>
    <w:rsid w:val="43C562EA"/>
    <w:rsid w:val="43F93E34"/>
    <w:rsid w:val="441B1703"/>
    <w:rsid w:val="499B495A"/>
    <w:rsid w:val="4A8273CF"/>
    <w:rsid w:val="4AE60906"/>
    <w:rsid w:val="4FC879DD"/>
    <w:rsid w:val="51A75FBA"/>
    <w:rsid w:val="52A0486D"/>
    <w:rsid w:val="545777FC"/>
    <w:rsid w:val="54FE4F20"/>
    <w:rsid w:val="557F1B11"/>
    <w:rsid w:val="560479B9"/>
    <w:rsid w:val="56ED35B8"/>
    <w:rsid w:val="570E3350"/>
    <w:rsid w:val="57295723"/>
    <w:rsid w:val="58BD37A2"/>
    <w:rsid w:val="596E04D0"/>
    <w:rsid w:val="5B231A90"/>
    <w:rsid w:val="5D3651EA"/>
    <w:rsid w:val="5D8B4DE3"/>
    <w:rsid w:val="5E750F56"/>
    <w:rsid w:val="5F817252"/>
    <w:rsid w:val="624C5045"/>
    <w:rsid w:val="63386C49"/>
    <w:rsid w:val="63EC0F98"/>
    <w:rsid w:val="661176E3"/>
    <w:rsid w:val="66DF2A6B"/>
    <w:rsid w:val="67433B3F"/>
    <w:rsid w:val="6B227E81"/>
    <w:rsid w:val="6CA3536F"/>
    <w:rsid w:val="6EF061E4"/>
    <w:rsid w:val="6F5A2C13"/>
    <w:rsid w:val="76DE26FA"/>
    <w:rsid w:val="7E3769AA"/>
    <w:rsid w:val="7E5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</Words>
  <Characters>1896</Characters>
  <Lines>15</Lines>
  <Paragraphs>4</Paragraphs>
  <TotalTime>1</TotalTime>
  <ScaleCrop>false</ScaleCrop>
  <LinksUpToDate>false</LinksUpToDate>
  <CharactersWithSpaces>2224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2018-04-23T02:06:00Z</dcterms:created>
  <dc:creator>Windows 用户</dc:creator>
  <cp:lastModifiedBy>玉洁</cp:lastModifiedBy>
  <cp:lastPrinted>2018-04-23T06:47:00Z</cp:lastPrinted>
  <dcterms:modified xsi:type="dcterms:W3CDTF">2020-05-18T09:18:15Z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