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0" w:line="460" w:lineRule="exact"/>
        <w:ind w:firstLine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附件1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</w:p>
    <w:p>
      <w:pPr>
        <w:spacing w:line="540" w:lineRule="exact"/>
        <w:ind w:firstLine="1280"/>
        <w:jc w:val="both"/>
      </w:pPr>
      <w:r>
        <w:rPr>
          <w:rFonts w:hint="eastAsia" w:ascii="宋体" w:hAnsi="宋体" w:eastAsia="宋体"/>
          <w:b/>
          <w:color w:val="000000"/>
          <w:sz w:val="40"/>
        </w:rPr>
        <w:t>2023年基本公共卫生服务项目任务目标</w:t>
      </w:r>
    </w:p>
    <w:tbl>
      <w:tblPr>
        <w:tblStyle w:val="2"/>
        <w:tblW w:w="10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9"/>
        <w:gridCol w:w="813"/>
        <w:gridCol w:w="1361"/>
        <w:gridCol w:w="5974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549" w:type="dxa"/>
            <w:vMerge w:val="restart"/>
            <w:vAlign w:val="top"/>
          </w:tcPr>
          <w:p>
            <w:pPr>
              <w:spacing w:before="6068" w:line="28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绩</w:t>
            </w:r>
          </w:p>
          <w:p>
            <w:pPr>
              <w:spacing w:before="24" w:line="32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效</w:t>
            </w:r>
          </w:p>
          <w:p>
            <w:pPr>
              <w:spacing w:before="27" w:line="34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指</w:t>
            </w:r>
          </w:p>
          <w:p>
            <w:pPr>
              <w:spacing w:before="19" w:line="34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标</w:t>
            </w:r>
          </w:p>
        </w:tc>
        <w:tc>
          <w:tcPr>
            <w:tcW w:w="813" w:type="dxa"/>
            <w:vAlign w:val="top"/>
          </w:tcPr>
          <w:p>
            <w:pPr>
              <w:spacing w:line="26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一级</w:t>
            </w:r>
          </w:p>
          <w:p>
            <w:pPr>
              <w:spacing w:line="26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指标</w:t>
            </w:r>
          </w:p>
        </w:tc>
        <w:tc>
          <w:tcPr>
            <w:tcW w:w="1361" w:type="dxa"/>
            <w:vAlign w:val="center"/>
          </w:tcPr>
          <w:p>
            <w:pPr>
              <w:spacing w:line="30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二级指标</w:t>
            </w:r>
          </w:p>
        </w:tc>
        <w:tc>
          <w:tcPr>
            <w:tcW w:w="5974" w:type="dxa"/>
            <w:vAlign w:val="center"/>
          </w:tcPr>
          <w:p>
            <w:pPr>
              <w:spacing w:line="30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三级指标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549" w:type="dxa"/>
            <w:vMerge w:val="continue"/>
          </w:tcPr>
          <w:p>
            <w:pPr>
              <w:jc w:val="center"/>
            </w:pPr>
          </w:p>
        </w:tc>
        <w:tc>
          <w:tcPr>
            <w:tcW w:w="813" w:type="dxa"/>
            <w:vMerge w:val="restart"/>
            <w:vAlign w:val="top"/>
          </w:tcPr>
          <w:p>
            <w:pPr>
              <w:spacing w:before="4503" w:line="38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产出</w:t>
            </w:r>
          </w:p>
          <w:p>
            <w:pPr>
              <w:spacing w:line="398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指标</w:t>
            </w:r>
          </w:p>
        </w:tc>
        <w:tc>
          <w:tcPr>
            <w:tcW w:w="13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数量指标</w:t>
            </w:r>
          </w:p>
        </w:tc>
        <w:tc>
          <w:tcPr>
            <w:tcW w:w="5974" w:type="dxa"/>
            <w:vAlign w:val="center"/>
          </w:tcPr>
          <w:p>
            <w:pPr>
              <w:spacing w:line="285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适龄儿童国家免疫规划疫苗接种率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549" w:type="dxa"/>
            <w:vMerge w:val="continue"/>
          </w:tcPr>
          <w:p>
            <w:pPr>
              <w:jc w:val="center"/>
            </w:pPr>
          </w:p>
        </w:tc>
        <w:tc>
          <w:tcPr>
            <w:tcW w:w="813" w:type="dxa"/>
            <w:vMerge w:val="continue"/>
          </w:tcPr>
          <w:p>
            <w:pPr>
              <w:jc w:val="center"/>
            </w:pPr>
          </w:p>
        </w:tc>
        <w:tc>
          <w:tcPr>
            <w:tcW w:w="1361" w:type="dxa"/>
            <w:vMerge w:val="continue"/>
          </w:tcPr>
          <w:p>
            <w:pPr>
              <w:jc w:val="center"/>
            </w:pPr>
          </w:p>
        </w:tc>
        <w:tc>
          <w:tcPr>
            <w:tcW w:w="5974" w:type="dxa"/>
            <w:vAlign w:val="center"/>
          </w:tcPr>
          <w:p>
            <w:pPr>
              <w:spacing w:line="285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7岁以下儿童健康管理率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≥85%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549" w:type="dxa"/>
            <w:vMerge w:val="continue"/>
          </w:tcPr>
          <w:p>
            <w:pPr>
              <w:jc w:val="center"/>
            </w:pPr>
          </w:p>
        </w:tc>
        <w:tc>
          <w:tcPr>
            <w:tcW w:w="813" w:type="dxa"/>
            <w:vMerge w:val="continue"/>
          </w:tcPr>
          <w:p>
            <w:pPr>
              <w:jc w:val="center"/>
            </w:pPr>
          </w:p>
        </w:tc>
        <w:tc>
          <w:tcPr>
            <w:tcW w:w="1361" w:type="dxa"/>
            <w:vMerge w:val="continue"/>
          </w:tcPr>
          <w:p>
            <w:pPr>
              <w:jc w:val="center"/>
            </w:pPr>
          </w:p>
        </w:tc>
        <w:tc>
          <w:tcPr>
            <w:tcW w:w="5974" w:type="dxa"/>
            <w:vAlign w:val="center"/>
          </w:tcPr>
          <w:p>
            <w:pPr>
              <w:spacing w:line="285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0-6岁儿童眼保健和视力检查覆盖率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549" w:type="dxa"/>
            <w:vMerge w:val="continue"/>
          </w:tcPr>
          <w:p>
            <w:pPr>
              <w:jc w:val="center"/>
            </w:pPr>
          </w:p>
        </w:tc>
        <w:tc>
          <w:tcPr>
            <w:tcW w:w="813" w:type="dxa"/>
            <w:vMerge w:val="continue"/>
          </w:tcPr>
          <w:p>
            <w:pPr>
              <w:jc w:val="center"/>
            </w:pPr>
          </w:p>
        </w:tc>
        <w:tc>
          <w:tcPr>
            <w:tcW w:w="1361" w:type="dxa"/>
            <w:vMerge w:val="continue"/>
          </w:tcPr>
          <w:p>
            <w:pPr>
              <w:jc w:val="center"/>
            </w:pPr>
          </w:p>
        </w:tc>
        <w:tc>
          <w:tcPr>
            <w:tcW w:w="5974" w:type="dxa"/>
            <w:vAlign w:val="center"/>
          </w:tcPr>
          <w:p>
            <w:pPr>
              <w:spacing w:line="285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孕产妇系统管理率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  <w:jc w:val="center"/>
        </w:trPr>
        <w:tc>
          <w:tcPr>
            <w:tcW w:w="549" w:type="dxa"/>
            <w:vMerge w:val="continue"/>
          </w:tcPr>
          <w:p>
            <w:pPr>
              <w:jc w:val="center"/>
            </w:pPr>
          </w:p>
        </w:tc>
        <w:tc>
          <w:tcPr>
            <w:tcW w:w="813" w:type="dxa"/>
            <w:vMerge w:val="continue"/>
          </w:tcPr>
          <w:p>
            <w:pPr>
              <w:jc w:val="center"/>
            </w:pPr>
          </w:p>
        </w:tc>
        <w:tc>
          <w:tcPr>
            <w:tcW w:w="1361" w:type="dxa"/>
            <w:vMerge w:val="continue"/>
          </w:tcPr>
          <w:p>
            <w:pPr>
              <w:jc w:val="center"/>
            </w:pPr>
          </w:p>
        </w:tc>
        <w:tc>
          <w:tcPr>
            <w:tcW w:w="5974" w:type="dxa"/>
            <w:vAlign w:val="center"/>
          </w:tcPr>
          <w:p>
            <w:pPr>
              <w:spacing w:line="285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3岁以下儿童系统管理率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≥80%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549" w:type="dxa"/>
            <w:vMerge w:val="continue"/>
          </w:tcPr>
          <w:p>
            <w:pPr>
              <w:jc w:val="center"/>
            </w:pPr>
          </w:p>
        </w:tc>
        <w:tc>
          <w:tcPr>
            <w:tcW w:w="813" w:type="dxa"/>
            <w:vMerge w:val="continue"/>
          </w:tcPr>
          <w:p>
            <w:pPr>
              <w:jc w:val="center"/>
            </w:pPr>
          </w:p>
        </w:tc>
        <w:tc>
          <w:tcPr>
            <w:tcW w:w="1361" w:type="dxa"/>
            <w:vMerge w:val="continue"/>
          </w:tcPr>
          <w:p>
            <w:pPr>
              <w:jc w:val="center"/>
            </w:pPr>
          </w:p>
        </w:tc>
        <w:tc>
          <w:tcPr>
            <w:tcW w:w="5974" w:type="dxa"/>
            <w:vAlign w:val="center"/>
          </w:tcPr>
          <w:p>
            <w:pPr>
              <w:spacing w:line="285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高血压患者管理人数</w:t>
            </w:r>
          </w:p>
        </w:tc>
        <w:tc>
          <w:tcPr>
            <w:tcW w:w="1443" w:type="dxa"/>
            <w:vAlign w:val="center"/>
          </w:tcPr>
          <w:p>
            <w:pPr>
              <w:spacing w:line="292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12215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549" w:type="dxa"/>
            <w:vMerge w:val="continue"/>
          </w:tcPr>
          <w:p>
            <w:pPr>
              <w:jc w:val="center"/>
            </w:pPr>
          </w:p>
        </w:tc>
        <w:tc>
          <w:tcPr>
            <w:tcW w:w="813" w:type="dxa"/>
            <w:vMerge w:val="continue"/>
          </w:tcPr>
          <w:p>
            <w:pPr>
              <w:jc w:val="center"/>
            </w:pPr>
          </w:p>
        </w:tc>
        <w:tc>
          <w:tcPr>
            <w:tcW w:w="1361" w:type="dxa"/>
            <w:vMerge w:val="continue"/>
          </w:tcPr>
          <w:p>
            <w:pPr>
              <w:jc w:val="center"/>
            </w:pPr>
          </w:p>
        </w:tc>
        <w:tc>
          <w:tcPr>
            <w:tcW w:w="5974" w:type="dxa"/>
            <w:vAlign w:val="center"/>
          </w:tcPr>
          <w:p>
            <w:pPr>
              <w:spacing w:line="277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2型糖尿病患者管理人数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3583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549" w:type="dxa"/>
            <w:vMerge w:val="continue"/>
          </w:tcPr>
          <w:p>
            <w:pPr>
              <w:jc w:val="center"/>
            </w:pPr>
          </w:p>
        </w:tc>
        <w:tc>
          <w:tcPr>
            <w:tcW w:w="813" w:type="dxa"/>
            <w:vMerge w:val="continue"/>
          </w:tcPr>
          <w:p>
            <w:pPr>
              <w:jc w:val="center"/>
            </w:pPr>
          </w:p>
        </w:tc>
        <w:tc>
          <w:tcPr>
            <w:tcW w:w="1361" w:type="dxa"/>
            <w:vMerge w:val="continue"/>
          </w:tcPr>
          <w:p>
            <w:pPr>
              <w:jc w:val="center"/>
            </w:pPr>
          </w:p>
        </w:tc>
        <w:tc>
          <w:tcPr>
            <w:tcW w:w="5974" w:type="dxa"/>
            <w:vAlign w:val="center"/>
          </w:tcPr>
          <w:p>
            <w:pPr>
              <w:spacing w:line="285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肺结核患者管理率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549" w:type="dxa"/>
            <w:vMerge w:val="continue"/>
          </w:tcPr>
          <w:p>
            <w:pPr>
              <w:jc w:val="center"/>
            </w:pPr>
          </w:p>
        </w:tc>
        <w:tc>
          <w:tcPr>
            <w:tcW w:w="813" w:type="dxa"/>
            <w:vMerge w:val="continue"/>
          </w:tcPr>
          <w:p>
            <w:pPr>
              <w:jc w:val="center"/>
            </w:pPr>
          </w:p>
        </w:tc>
        <w:tc>
          <w:tcPr>
            <w:tcW w:w="1361" w:type="dxa"/>
            <w:vMerge w:val="continue"/>
          </w:tcPr>
          <w:p>
            <w:pPr>
              <w:jc w:val="center"/>
            </w:pPr>
          </w:p>
        </w:tc>
        <w:tc>
          <w:tcPr>
            <w:tcW w:w="5974" w:type="dxa"/>
            <w:vAlign w:val="center"/>
          </w:tcPr>
          <w:p>
            <w:pPr>
              <w:spacing w:line="285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社区在册居家严重精神障碍患者健康管理率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≥80%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549" w:type="dxa"/>
            <w:vMerge w:val="continue"/>
          </w:tcPr>
          <w:p>
            <w:pPr>
              <w:jc w:val="center"/>
            </w:pPr>
          </w:p>
        </w:tc>
        <w:tc>
          <w:tcPr>
            <w:tcW w:w="813" w:type="dxa"/>
            <w:vMerge w:val="continue"/>
          </w:tcPr>
          <w:p>
            <w:pPr>
              <w:jc w:val="center"/>
            </w:pPr>
          </w:p>
        </w:tc>
        <w:tc>
          <w:tcPr>
            <w:tcW w:w="1361" w:type="dxa"/>
            <w:vMerge w:val="continue"/>
          </w:tcPr>
          <w:p>
            <w:pPr>
              <w:jc w:val="center"/>
            </w:pPr>
          </w:p>
        </w:tc>
        <w:tc>
          <w:tcPr>
            <w:tcW w:w="5974" w:type="dxa"/>
            <w:vAlign w:val="center"/>
          </w:tcPr>
          <w:p>
            <w:pPr>
              <w:spacing w:line="285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儿童中医药健康管理率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≥77%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549" w:type="dxa"/>
            <w:vMerge w:val="continue"/>
          </w:tcPr>
          <w:p>
            <w:pPr>
              <w:jc w:val="center"/>
            </w:pPr>
          </w:p>
        </w:tc>
        <w:tc>
          <w:tcPr>
            <w:tcW w:w="813" w:type="dxa"/>
            <w:vMerge w:val="continue"/>
          </w:tcPr>
          <w:p>
            <w:pPr>
              <w:jc w:val="center"/>
            </w:pPr>
          </w:p>
        </w:tc>
        <w:tc>
          <w:tcPr>
            <w:tcW w:w="1361" w:type="dxa"/>
            <w:vMerge w:val="continue"/>
          </w:tcPr>
          <w:p>
            <w:pPr>
              <w:jc w:val="center"/>
            </w:pPr>
          </w:p>
        </w:tc>
        <w:tc>
          <w:tcPr>
            <w:tcW w:w="5974" w:type="dxa"/>
            <w:vAlign w:val="center"/>
          </w:tcPr>
          <w:p>
            <w:pPr>
              <w:spacing w:line="285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老年人中医药健康管理率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≥70%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549" w:type="dxa"/>
            <w:vMerge w:val="continue"/>
          </w:tcPr>
          <w:p>
            <w:pPr>
              <w:jc w:val="center"/>
            </w:pPr>
          </w:p>
        </w:tc>
        <w:tc>
          <w:tcPr>
            <w:tcW w:w="813" w:type="dxa"/>
            <w:vMerge w:val="continue"/>
          </w:tcPr>
          <w:p>
            <w:pPr>
              <w:jc w:val="center"/>
            </w:pPr>
          </w:p>
        </w:tc>
        <w:tc>
          <w:tcPr>
            <w:tcW w:w="1361" w:type="dxa"/>
            <w:vMerge w:val="continue"/>
          </w:tcPr>
          <w:p>
            <w:pPr>
              <w:jc w:val="center"/>
            </w:pPr>
          </w:p>
        </w:tc>
        <w:tc>
          <w:tcPr>
            <w:tcW w:w="5974" w:type="dxa"/>
            <w:vAlign w:val="center"/>
          </w:tcPr>
          <w:p>
            <w:pPr>
              <w:spacing w:line="30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卫生监督协管各专业年巡查（访）2次完成率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549" w:type="dxa"/>
            <w:vMerge w:val="continue"/>
          </w:tcPr>
          <w:p>
            <w:pPr>
              <w:jc w:val="center"/>
            </w:pPr>
          </w:p>
        </w:tc>
        <w:tc>
          <w:tcPr>
            <w:tcW w:w="813" w:type="dxa"/>
            <w:vMerge w:val="continue"/>
          </w:tcPr>
          <w:p>
            <w:pPr>
              <w:jc w:val="center"/>
            </w:pPr>
          </w:p>
        </w:tc>
        <w:tc>
          <w:tcPr>
            <w:tcW w:w="1361" w:type="dxa"/>
            <w:vMerge w:val="continue"/>
          </w:tcPr>
          <w:p>
            <w:pPr>
              <w:jc w:val="center"/>
            </w:pPr>
          </w:p>
        </w:tc>
        <w:tc>
          <w:tcPr>
            <w:tcW w:w="5974" w:type="dxa"/>
            <w:vAlign w:val="center"/>
          </w:tcPr>
          <w:p>
            <w:pPr>
              <w:spacing w:line="285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职业健康检查服务覆盖率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549" w:type="dxa"/>
            <w:vMerge w:val="continue"/>
          </w:tcPr>
          <w:p>
            <w:pPr>
              <w:jc w:val="center"/>
            </w:pPr>
          </w:p>
        </w:tc>
        <w:tc>
          <w:tcPr>
            <w:tcW w:w="813" w:type="dxa"/>
            <w:vMerge w:val="continue"/>
          </w:tcPr>
          <w:p>
            <w:pPr>
              <w:jc w:val="center"/>
            </w:pPr>
          </w:p>
        </w:tc>
        <w:tc>
          <w:tcPr>
            <w:tcW w:w="1361" w:type="dxa"/>
            <w:vMerge w:val="continue"/>
          </w:tcPr>
          <w:p>
            <w:pPr>
              <w:jc w:val="center"/>
            </w:pPr>
          </w:p>
        </w:tc>
        <w:tc>
          <w:tcPr>
            <w:tcW w:w="5974" w:type="dxa"/>
            <w:vAlign w:val="center"/>
          </w:tcPr>
          <w:p>
            <w:pPr>
              <w:spacing w:line="285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地方病防治工作任务完成率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549" w:type="dxa"/>
            <w:vMerge w:val="continue"/>
          </w:tcPr>
          <w:p>
            <w:pPr>
              <w:jc w:val="center"/>
            </w:pPr>
          </w:p>
        </w:tc>
        <w:tc>
          <w:tcPr>
            <w:tcW w:w="813" w:type="dxa"/>
            <w:vMerge w:val="continue"/>
          </w:tcPr>
          <w:p>
            <w:pPr>
              <w:jc w:val="center"/>
            </w:pPr>
          </w:p>
        </w:tc>
        <w:tc>
          <w:tcPr>
            <w:tcW w:w="1361" w:type="dxa"/>
            <w:vMerge w:val="continue"/>
          </w:tcPr>
          <w:p>
            <w:pPr>
              <w:jc w:val="center"/>
            </w:pPr>
          </w:p>
        </w:tc>
        <w:tc>
          <w:tcPr>
            <w:tcW w:w="5974" w:type="dxa"/>
            <w:vAlign w:val="center"/>
          </w:tcPr>
          <w:p>
            <w:pPr>
              <w:spacing w:line="285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宫颈癌、乳腺癌筛查目标人群覆盖率</w:t>
            </w:r>
          </w:p>
        </w:tc>
        <w:tc>
          <w:tcPr>
            <w:tcW w:w="1443" w:type="dxa"/>
            <w:vAlign w:val="center"/>
          </w:tcPr>
          <w:p>
            <w:pPr>
              <w:spacing w:line="26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较上年提高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549" w:type="dxa"/>
            <w:vMerge w:val="continue"/>
          </w:tcPr>
          <w:p>
            <w:pPr>
              <w:jc w:val="center"/>
            </w:pPr>
          </w:p>
        </w:tc>
        <w:tc>
          <w:tcPr>
            <w:tcW w:w="813" w:type="dxa"/>
            <w:vMerge w:val="continue"/>
          </w:tcPr>
          <w:p>
            <w:pPr>
              <w:jc w:val="center"/>
            </w:pPr>
          </w:p>
        </w:tc>
        <w:tc>
          <w:tcPr>
            <w:tcW w:w="1361" w:type="dxa"/>
            <w:vMerge w:val="continue"/>
          </w:tcPr>
          <w:p>
            <w:pPr>
              <w:jc w:val="center"/>
            </w:pPr>
          </w:p>
        </w:tc>
        <w:tc>
          <w:tcPr>
            <w:tcW w:w="5974" w:type="dxa"/>
            <w:vAlign w:val="center"/>
          </w:tcPr>
          <w:p>
            <w:pPr>
              <w:spacing w:line="285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脱贫地区儿童营养改善项目重点县覆盖率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549" w:type="dxa"/>
            <w:vMerge w:val="continue"/>
          </w:tcPr>
          <w:p>
            <w:pPr>
              <w:jc w:val="center"/>
            </w:pPr>
          </w:p>
        </w:tc>
        <w:tc>
          <w:tcPr>
            <w:tcW w:w="813" w:type="dxa"/>
            <w:vMerge w:val="continue"/>
          </w:tcPr>
          <w:p>
            <w:pPr>
              <w:jc w:val="center"/>
            </w:pPr>
          </w:p>
        </w:tc>
        <w:tc>
          <w:tcPr>
            <w:tcW w:w="13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0"/>
              <w:jc w:val="center"/>
              <w:textAlignment w:val="auto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质量指标</w:t>
            </w:r>
          </w:p>
        </w:tc>
        <w:tc>
          <w:tcPr>
            <w:tcW w:w="5974" w:type="dxa"/>
            <w:vAlign w:val="center"/>
          </w:tcPr>
          <w:p>
            <w:pPr>
              <w:spacing w:line="285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居民规范化电子健康档案覆盖率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≥62%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549" w:type="dxa"/>
            <w:vMerge w:val="continue"/>
          </w:tcPr>
          <w:p>
            <w:pPr>
              <w:jc w:val="center"/>
            </w:pPr>
          </w:p>
        </w:tc>
        <w:tc>
          <w:tcPr>
            <w:tcW w:w="813" w:type="dxa"/>
            <w:vMerge w:val="continue"/>
          </w:tcPr>
          <w:p>
            <w:pPr>
              <w:jc w:val="center"/>
            </w:pPr>
          </w:p>
        </w:tc>
        <w:tc>
          <w:tcPr>
            <w:tcW w:w="1361" w:type="dxa"/>
            <w:vMerge w:val="continue"/>
          </w:tcPr>
          <w:p>
            <w:pPr>
              <w:jc w:val="center"/>
            </w:pPr>
          </w:p>
        </w:tc>
        <w:tc>
          <w:tcPr>
            <w:tcW w:w="5974" w:type="dxa"/>
            <w:vAlign w:val="center"/>
          </w:tcPr>
          <w:p>
            <w:pPr>
              <w:spacing w:line="285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高血压患者基层规范管理服务率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&gt;62%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549" w:type="dxa"/>
            <w:vMerge w:val="continue"/>
          </w:tcPr>
          <w:p>
            <w:pPr>
              <w:jc w:val="center"/>
            </w:pPr>
          </w:p>
        </w:tc>
        <w:tc>
          <w:tcPr>
            <w:tcW w:w="813" w:type="dxa"/>
            <w:vMerge w:val="continue"/>
          </w:tcPr>
          <w:p>
            <w:pPr>
              <w:jc w:val="center"/>
            </w:pPr>
          </w:p>
        </w:tc>
        <w:tc>
          <w:tcPr>
            <w:tcW w:w="1361" w:type="dxa"/>
            <w:vMerge w:val="continue"/>
          </w:tcPr>
          <w:p>
            <w:pPr>
              <w:jc w:val="center"/>
            </w:pPr>
          </w:p>
        </w:tc>
        <w:tc>
          <w:tcPr>
            <w:tcW w:w="5974" w:type="dxa"/>
            <w:vAlign w:val="center"/>
          </w:tcPr>
          <w:p>
            <w:pPr>
              <w:spacing w:line="285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2型糖尿病患者基层规范管理服务率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≥62%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549" w:type="dxa"/>
            <w:vMerge w:val="continue"/>
          </w:tcPr>
          <w:p>
            <w:pPr>
              <w:jc w:val="center"/>
            </w:pPr>
          </w:p>
        </w:tc>
        <w:tc>
          <w:tcPr>
            <w:tcW w:w="813" w:type="dxa"/>
            <w:vMerge w:val="continue"/>
          </w:tcPr>
          <w:p>
            <w:pPr>
              <w:jc w:val="center"/>
            </w:pPr>
          </w:p>
        </w:tc>
        <w:tc>
          <w:tcPr>
            <w:tcW w:w="1361" w:type="dxa"/>
            <w:vMerge w:val="continue"/>
          </w:tcPr>
          <w:p>
            <w:pPr>
              <w:jc w:val="center"/>
            </w:pPr>
          </w:p>
        </w:tc>
        <w:tc>
          <w:tcPr>
            <w:tcW w:w="5974" w:type="dxa"/>
            <w:vAlign w:val="center"/>
          </w:tcPr>
          <w:p>
            <w:pPr>
              <w:spacing w:line="285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65岁及以上老年人城乡社区规范健康管理服务率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≥62%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549" w:type="dxa"/>
            <w:vMerge w:val="continue"/>
          </w:tcPr>
          <w:p>
            <w:pPr>
              <w:jc w:val="center"/>
            </w:pPr>
          </w:p>
        </w:tc>
        <w:tc>
          <w:tcPr>
            <w:tcW w:w="813" w:type="dxa"/>
            <w:vMerge w:val="continue"/>
          </w:tcPr>
          <w:p>
            <w:pPr>
              <w:jc w:val="center"/>
            </w:pPr>
          </w:p>
        </w:tc>
        <w:tc>
          <w:tcPr>
            <w:tcW w:w="1361" w:type="dxa"/>
            <w:vMerge w:val="continue"/>
          </w:tcPr>
          <w:p>
            <w:pPr>
              <w:jc w:val="center"/>
            </w:pPr>
          </w:p>
        </w:tc>
        <w:tc>
          <w:tcPr>
            <w:tcW w:w="5974" w:type="dxa"/>
            <w:vAlign w:val="center"/>
          </w:tcPr>
          <w:p>
            <w:pPr>
              <w:spacing w:line="285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传染病和突发公共卫生事件报告率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&gt;95%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549" w:type="dxa"/>
            <w:vMerge w:val="continue"/>
          </w:tcPr>
          <w:p>
            <w:pPr>
              <w:jc w:val="center"/>
            </w:pPr>
          </w:p>
        </w:tc>
        <w:tc>
          <w:tcPr>
            <w:tcW w:w="813" w:type="dxa"/>
            <w:vMerge w:val="restart"/>
            <w:vAlign w:val="top"/>
          </w:tcPr>
          <w:p>
            <w:pPr>
              <w:spacing w:before="478" w:line="393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效益</w:t>
            </w:r>
          </w:p>
          <w:p>
            <w:pPr>
              <w:spacing w:line="373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指标</w:t>
            </w:r>
          </w:p>
        </w:tc>
        <w:tc>
          <w:tcPr>
            <w:tcW w:w="1361" w:type="dxa"/>
            <w:vMerge w:val="restart"/>
            <w:vAlign w:val="top"/>
          </w:tcPr>
          <w:p>
            <w:pPr>
              <w:spacing w:before="97" w:line="26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社会效益</w:t>
            </w:r>
          </w:p>
          <w:p>
            <w:pPr>
              <w:spacing w:line="261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指标</w:t>
            </w:r>
          </w:p>
        </w:tc>
        <w:tc>
          <w:tcPr>
            <w:tcW w:w="5974" w:type="dxa"/>
            <w:vAlign w:val="center"/>
          </w:tcPr>
          <w:p>
            <w:pPr>
              <w:spacing w:line="285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城乡居民公共卫生差距</w:t>
            </w:r>
          </w:p>
        </w:tc>
        <w:tc>
          <w:tcPr>
            <w:tcW w:w="1443" w:type="dxa"/>
            <w:vAlign w:val="center"/>
          </w:tcPr>
          <w:p>
            <w:pPr>
              <w:spacing w:line="292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不断缩小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549" w:type="dxa"/>
            <w:vMerge w:val="continue"/>
          </w:tcPr>
          <w:p>
            <w:pPr>
              <w:jc w:val="center"/>
            </w:pPr>
          </w:p>
        </w:tc>
        <w:tc>
          <w:tcPr>
            <w:tcW w:w="813" w:type="dxa"/>
            <w:vMerge w:val="continue"/>
          </w:tcPr>
          <w:p>
            <w:pPr>
              <w:jc w:val="center"/>
            </w:pPr>
          </w:p>
        </w:tc>
        <w:tc>
          <w:tcPr>
            <w:tcW w:w="1361" w:type="dxa"/>
            <w:vMerge w:val="continue"/>
          </w:tcPr>
          <w:p>
            <w:pPr>
              <w:jc w:val="center"/>
            </w:pPr>
          </w:p>
        </w:tc>
        <w:tc>
          <w:tcPr>
            <w:tcW w:w="5974" w:type="dxa"/>
            <w:vAlign w:val="center"/>
          </w:tcPr>
          <w:p>
            <w:pPr>
              <w:spacing w:line="285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居民健康素养水平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不断提高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  <w:jc w:val="center"/>
        </w:trPr>
        <w:tc>
          <w:tcPr>
            <w:tcW w:w="549" w:type="dxa"/>
            <w:vMerge w:val="continue"/>
          </w:tcPr>
          <w:p>
            <w:pPr>
              <w:jc w:val="center"/>
            </w:pPr>
          </w:p>
        </w:tc>
        <w:tc>
          <w:tcPr>
            <w:tcW w:w="813" w:type="dxa"/>
            <w:vMerge w:val="continue"/>
          </w:tcPr>
          <w:p>
            <w:pPr>
              <w:jc w:val="center"/>
            </w:pPr>
          </w:p>
        </w:tc>
        <w:tc>
          <w:tcPr>
            <w:tcW w:w="1361" w:type="dxa"/>
            <w:vAlign w:val="top"/>
          </w:tcPr>
          <w:p>
            <w:pPr>
              <w:spacing w:before="94" w:line="26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可持续影</w:t>
            </w:r>
          </w:p>
          <w:p>
            <w:pPr>
              <w:spacing w:line="261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响指标</w:t>
            </w:r>
          </w:p>
        </w:tc>
        <w:tc>
          <w:tcPr>
            <w:tcW w:w="5974" w:type="dxa"/>
            <w:vAlign w:val="center"/>
          </w:tcPr>
          <w:p>
            <w:pPr>
              <w:spacing w:line="285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基本公共卫生服务水平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不断提高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  <w:jc w:val="center"/>
        </w:trPr>
        <w:tc>
          <w:tcPr>
            <w:tcW w:w="549" w:type="dxa"/>
            <w:vMerge w:val="continue"/>
          </w:tcPr>
          <w:p>
            <w:pPr>
              <w:jc w:val="center"/>
            </w:pPr>
          </w:p>
        </w:tc>
        <w:tc>
          <w:tcPr>
            <w:tcW w:w="813" w:type="dxa"/>
            <w:vAlign w:val="center"/>
          </w:tcPr>
          <w:p>
            <w:pPr>
              <w:spacing w:line="26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满意</w:t>
            </w:r>
          </w:p>
          <w:p>
            <w:pPr>
              <w:spacing w:line="26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度指</w:t>
            </w:r>
          </w:p>
          <w:p>
            <w:pPr>
              <w:spacing w:line="213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标</w:t>
            </w:r>
          </w:p>
        </w:tc>
        <w:tc>
          <w:tcPr>
            <w:tcW w:w="1361" w:type="dxa"/>
            <w:vAlign w:val="center"/>
          </w:tcPr>
          <w:p>
            <w:pPr>
              <w:spacing w:line="24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服务对象</w:t>
            </w:r>
          </w:p>
          <w:p>
            <w:pPr>
              <w:spacing w:line="24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满意度指</w:t>
            </w:r>
          </w:p>
          <w:p>
            <w:pPr>
              <w:spacing w:line="213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标</w:t>
            </w:r>
          </w:p>
        </w:tc>
        <w:tc>
          <w:tcPr>
            <w:tcW w:w="5974" w:type="dxa"/>
            <w:vAlign w:val="center"/>
          </w:tcPr>
          <w:p>
            <w:pPr>
              <w:spacing w:line="285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基本公共卫生服务对象满意度</w:t>
            </w:r>
          </w:p>
        </w:tc>
        <w:tc>
          <w:tcPr>
            <w:tcW w:w="1443" w:type="dxa"/>
            <w:vAlign w:val="top"/>
          </w:tcPr>
          <w:p>
            <w:pPr>
              <w:spacing w:before="192" w:line="26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较上年提</w:t>
            </w:r>
          </w:p>
          <w:p>
            <w:pPr>
              <w:spacing w:line="212" w:lineRule="exact"/>
              <w:ind w:firstLine="0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高</w:t>
            </w:r>
          </w:p>
        </w:tc>
      </w:tr>
    </w:tbl>
    <w:p>
      <w:pPr>
        <w:spacing w:line="1" w:lineRule="exact"/>
        <w:jc w:val="center"/>
        <w:sectPr>
          <w:type w:val="continuous"/>
          <w:pgSz w:w="12000" w:h="16840"/>
          <w:pgMar w:top="1020" w:right="867" w:bottom="1360" w:left="777" w:header="0" w:footer="0" w:gutter="0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9601200</wp:posOffset>
                </wp:positionV>
                <wp:extent cx="1092200" cy="203200"/>
                <wp:effectExtent l="0" t="0" r="635" b="1460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4"/>
                              </w:rPr>
                              <w:t>-8-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0pt;margin-top:756pt;height:16pt;width:86pt;mso-position-horizontal-relative:page;z-index:251659264;mso-width-relative:page;mso-height-relative:page;" filled="f" stroked="f" coordsize="21600,21600" o:gfxdata="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NLn86/YAAAADQEAAA8AAAAAAAAAAQAgAAAAOAAAAGRycy9kb3ducmV2LnhtbFBLAQIUABQAAAAI&#10;AIdO4kBl/+EI1wEAAJ4DAAAOAAAAAAAAAAEAIAAAAD0BAABkcnMvZTJvRG9jLnhtbFBLBQYAAAAA&#10;BgAGAFkBAACG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28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4"/>
                        </w:rPr>
                        <w:t>-8-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1" w:lineRule="exact"/>
        <w:jc w:val="center"/>
      </w:pPr>
    </w:p>
    <w:sectPr>
      <w:type w:val="continuous"/>
      <w:pgSz w:w="12000" w:h="16840"/>
      <w:pgMar w:top="1020" w:right="1040" w:bottom="1360" w:left="7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xNjZiYThjNzllYTM5OTljNTQ1YTI3MTI2OWY4NTMifQ=="/>
  </w:docVars>
  <w:rsids>
    <w:rsidRoot w:val="00BD0BC8"/>
    <w:rsid w:val="000D6051"/>
    <w:rsid w:val="009F0BE0"/>
    <w:rsid w:val="00BA6D97"/>
    <w:rsid w:val="00BD0BC8"/>
    <w:rsid w:val="2DE03643"/>
    <w:rsid w:val="5BB838E1"/>
    <w:rsid w:val="7529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2023-09-21T15:21:00Z</dcterms:created>
  <dc:creator>INTSIG</dc:creator>
  <dc:description>Intsig Word Converter</dc:description>
  <cp:lastModifiedBy>ad</cp:lastModifiedBy>
  <cp:lastPrinted>2023-09-22T15:46:00Z</cp:lastPrinted>
  <dcterms:modified xsi:type="dcterms:W3CDTF">2023-12-06T10:56:17Z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396DE4A96FB74B63BC26A9717F905261_12</vt:lpwstr>
  </property>
</Properties>
</file>